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9B" w:rsidRDefault="004F789B" w:rsidP="00CB0184">
      <w:pPr>
        <w:jc w:val="center"/>
        <w:rPr>
          <w:b/>
        </w:rPr>
      </w:pPr>
      <w:bookmarkStart w:id="0" w:name="_GoBack"/>
      <w:bookmarkEnd w:id="0"/>
    </w:p>
    <w:p w:rsidR="00C76BDF" w:rsidRPr="00C76BDF" w:rsidRDefault="00C76BDF" w:rsidP="00C76BDF">
      <w:pPr>
        <w:spacing w:before="100" w:beforeAutospacing="1" w:after="100" w:afterAutospacing="1"/>
        <w:jc w:val="center"/>
        <w:rPr>
          <w:rFonts w:eastAsia="Times New Roman" w:cs="Times New Roman"/>
          <w:szCs w:val="24"/>
          <w:lang w:eastAsia="lt-LT"/>
        </w:rPr>
      </w:pPr>
      <w:r w:rsidRPr="00C76BDF">
        <w:rPr>
          <w:rFonts w:eastAsia="Times New Roman" w:cs="Times New Roman"/>
          <w:b/>
          <w:bCs/>
          <w:caps/>
          <w:szCs w:val="24"/>
          <w:lang w:eastAsia="lt-LT"/>
        </w:rPr>
        <w:t>LIETUVOS RESPUBLIKOS</w:t>
      </w:r>
    </w:p>
    <w:p w:rsidR="00C76BDF" w:rsidRPr="00C76BDF" w:rsidRDefault="00C76BDF" w:rsidP="00C76BDF">
      <w:pPr>
        <w:spacing w:before="100" w:beforeAutospacing="1" w:after="100" w:afterAutospacing="1"/>
        <w:jc w:val="center"/>
        <w:rPr>
          <w:rFonts w:eastAsia="Times New Roman" w:cs="Times New Roman"/>
          <w:szCs w:val="24"/>
          <w:lang w:eastAsia="lt-LT"/>
        </w:rPr>
      </w:pPr>
      <w:r w:rsidRPr="00C76BDF">
        <w:rPr>
          <w:rFonts w:eastAsia="Times New Roman" w:cs="Times New Roman"/>
          <w:b/>
          <w:bCs/>
          <w:caps/>
          <w:szCs w:val="24"/>
          <w:lang w:eastAsia="lt-LT"/>
        </w:rPr>
        <w:t>NEFORMALIOJO SUAUGUSIŲJŲ ŠVIETIMO ĮSTATYMO NR. VIII-822 PAKEITIMO</w:t>
      </w:r>
    </w:p>
    <w:p w:rsidR="00C76BDF" w:rsidRPr="00C76BDF" w:rsidRDefault="00C76BDF" w:rsidP="00C76BDF">
      <w:pPr>
        <w:spacing w:before="100" w:beforeAutospacing="1" w:after="100" w:afterAutospacing="1"/>
        <w:jc w:val="center"/>
        <w:rPr>
          <w:rFonts w:eastAsia="Times New Roman" w:cs="Times New Roman"/>
          <w:szCs w:val="24"/>
          <w:lang w:eastAsia="lt-LT"/>
        </w:rPr>
      </w:pPr>
      <w:r w:rsidRPr="00C76BDF">
        <w:rPr>
          <w:rFonts w:eastAsia="Times New Roman" w:cs="Times New Roman"/>
          <w:b/>
          <w:bCs/>
          <w:caps/>
          <w:szCs w:val="24"/>
          <w:lang w:eastAsia="lt-LT"/>
        </w:rPr>
        <w:t>ĮSTATYMAS</w:t>
      </w:r>
    </w:p>
    <w:p w:rsidR="00C76BDF" w:rsidRPr="00C76BDF" w:rsidRDefault="00C76BDF" w:rsidP="00C76BDF">
      <w:pPr>
        <w:spacing w:before="100" w:beforeAutospacing="1" w:after="100" w:afterAutospacing="1"/>
        <w:jc w:val="center"/>
        <w:rPr>
          <w:rFonts w:eastAsia="Times New Roman" w:cs="Times New Roman"/>
          <w:szCs w:val="24"/>
          <w:lang w:eastAsia="lt-LT"/>
        </w:rPr>
      </w:pPr>
      <w:r w:rsidRPr="00C76BDF">
        <w:rPr>
          <w:rFonts w:eastAsia="Times New Roman" w:cs="Times New Roman"/>
          <w:szCs w:val="24"/>
          <w:lang w:eastAsia="lt-LT"/>
        </w:rPr>
        <w:t>2014 m. d. Nr.</w:t>
      </w:r>
    </w:p>
    <w:p w:rsidR="00C76BDF" w:rsidRPr="00C76BDF" w:rsidRDefault="00C76BDF" w:rsidP="00C76BDF">
      <w:pPr>
        <w:spacing w:before="100" w:beforeAutospacing="1" w:after="100" w:afterAutospacing="1"/>
        <w:jc w:val="center"/>
        <w:rPr>
          <w:rFonts w:eastAsia="Times New Roman" w:cs="Times New Roman"/>
          <w:szCs w:val="24"/>
          <w:lang w:eastAsia="lt-LT"/>
        </w:rPr>
      </w:pPr>
      <w:r w:rsidRPr="00C76BDF">
        <w:rPr>
          <w:rFonts w:eastAsia="Times New Roman" w:cs="Times New Roman"/>
          <w:szCs w:val="24"/>
          <w:lang w:eastAsia="lt-LT"/>
        </w:rPr>
        <w:t>Vilnius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 straipsnis. Lietuvos Respublikos neformaliojo suaugusiųjų švietimo įstatymo Nr. VIII-822 nauja redakcija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Pakeisti Lietuvos Respublikos neformaliojo suaugusiųjų švietimo įstatymą Nr. VIII-822 ir jį išdėstyti taip:</w:t>
      </w:r>
    </w:p>
    <w:p w:rsidR="00C76BDF" w:rsidRPr="00C76BDF" w:rsidRDefault="00C76BDF" w:rsidP="00C76BDF">
      <w:pPr>
        <w:spacing w:before="100" w:beforeAutospacing="1" w:after="100" w:afterAutospacing="1" w:line="360" w:lineRule="auto"/>
        <w:jc w:val="center"/>
        <w:rPr>
          <w:rFonts w:eastAsia="Times New Roman" w:cs="Times New Roman"/>
          <w:szCs w:val="24"/>
          <w:lang w:eastAsia="lt-LT"/>
        </w:rPr>
      </w:pPr>
      <w:r w:rsidRPr="00C76BDF">
        <w:rPr>
          <w:rFonts w:eastAsia="Times New Roman" w:cs="Times New Roman"/>
          <w:szCs w:val="24"/>
          <w:lang w:eastAsia="lt-LT"/>
        </w:rPr>
        <w:t>„</w:t>
      </w:r>
      <w:r w:rsidRPr="00C76BDF">
        <w:rPr>
          <w:rFonts w:eastAsia="Times New Roman" w:cs="Times New Roman"/>
          <w:b/>
          <w:bCs/>
          <w:szCs w:val="24"/>
          <w:lang w:eastAsia="lt-LT"/>
        </w:rPr>
        <w:t xml:space="preserve">LIETUVOS RESPUBLIKOS </w:t>
      </w:r>
    </w:p>
    <w:p w:rsidR="00C76BDF" w:rsidRPr="00C76BDF" w:rsidRDefault="00C76BDF" w:rsidP="00C76BDF">
      <w:pPr>
        <w:spacing w:before="100" w:beforeAutospacing="1" w:after="100" w:afterAutospacing="1" w:line="360" w:lineRule="auto"/>
        <w:jc w:val="center"/>
        <w:rPr>
          <w:rFonts w:eastAsia="Times New Roman" w:cs="Times New Roman"/>
          <w:szCs w:val="24"/>
          <w:lang w:eastAsia="lt-LT"/>
        </w:rPr>
      </w:pPr>
      <w:r w:rsidRPr="00C76BDF">
        <w:rPr>
          <w:rFonts w:eastAsia="Times New Roman" w:cs="Times New Roman"/>
          <w:b/>
          <w:bCs/>
          <w:szCs w:val="24"/>
          <w:lang w:eastAsia="lt-LT"/>
        </w:rPr>
        <w:t xml:space="preserve">NEFORMALIOJO SUAUGUSIŲJŲ ŠVIETIMO IR TĘSTINIO MOKYMOSI </w:t>
      </w:r>
    </w:p>
    <w:p w:rsidR="00C76BDF" w:rsidRPr="00C76BDF" w:rsidRDefault="00C76BDF" w:rsidP="00C76BDF">
      <w:pPr>
        <w:spacing w:before="100" w:beforeAutospacing="1" w:after="100" w:afterAutospacing="1" w:line="360" w:lineRule="auto"/>
        <w:jc w:val="center"/>
        <w:rPr>
          <w:rFonts w:eastAsia="Times New Roman" w:cs="Times New Roman"/>
          <w:szCs w:val="24"/>
          <w:lang w:eastAsia="lt-LT"/>
        </w:rPr>
      </w:pPr>
      <w:r w:rsidRPr="00C76BDF">
        <w:rPr>
          <w:rFonts w:eastAsia="Times New Roman" w:cs="Times New Roman"/>
          <w:b/>
          <w:bCs/>
          <w:szCs w:val="24"/>
          <w:lang w:eastAsia="lt-LT"/>
        </w:rPr>
        <w:t>ĮSTATYMAS</w:t>
      </w:r>
    </w:p>
    <w:p w:rsidR="00C76BDF" w:rsidRPr="00C76BDF" w:rsidRDefault="00C76BDF" w:rsidP="00C76BDF">
      <w:pPr>
        <w:spacing w:before="100" w:beforeAutospacing="1" w:after="100" w:afterAutospacing="1" w:line="360" w:lineRule="auto"/>
        <w:jc w:val="center"/>
        <w:rPr>
          <w:rFonts w:eastAsia="Times New Roman" w:cs="Times New Roman"/>
          <w:szCs w:val="24"/>
          <w:lang w:eastAsia="lt-LT"/>
        </w:rPr>
      </w:pPr>
      <w:r w:rsidRPr="00C76BDF">
        <w:rPr>
          <w:rFonts w:eastAsia="Times New Roman" w:cs="Times New Roman"/>
          <w:b/>
          <w:bCs/>
          <w:szCs w:val="24"/>
          <w:lang w:eastAsia="lt-LT"/>
        </w:rPr>
        <w:t>PIRMASIS SKIRSNIS</w:t>
      </w:r>
    </w:p>
    <w:p w:rsidR="00C76BDF" w:rsidRPr="00C76BDF" w:rsidRDefault="00C76BDF" w:rsidP="00C76BDF">
      <w:pPr>
        <w:spacing w:before="100" w:beforeAutospacing="1" w:after="100" w:afterAutospacing="1" w:line="360" w:lineRule="auto"/>
        <w:jc w:val="center"/>
        <w:rPr>
          <w:rFonts w:eastAsia="Times New Roman" w:cs="Times New Roman"/>
          <w:szCs w:val="24"/>
          <w:lang w:eastAsia="lt-LT"/>
        </w:rPr>
      </w:pPr>
      <w:r w:rsidRPr="00C76BDF">
        <w:rPr>
          <w:rFonts w:eastAsia="Times New Roman" w:cs="Times New Roman"/>
          <w:b/>
          <w:bCs/>
          <w:szCs w:val="24"/>
          <w:lang w:eastAsia="lt-LT"/>
        </w:rPr>
        <w:t>BENDROSIOS NUOSTATOS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 straipsnis</w:t>
      </w:r>
      <w:r w:rsidRPr="00C76BDF">
        <w:rPr>
          <w:rFonts w:eastAsia="Times New Roman" w:cs="Times New Roman"/>
          <w:b/>
          <w:bCs/>
          <w:i/>
          <w:iCs/>
          <w:szCs w:val="24"/>
          <w:lang w:eastAsia="lt-LT"/>
        </w:rPr>
        <w:t xml:space="preserve">. </w:t>
      </w:r>
      <w:r w:rsidRPr="00C76BDF">
        <w:rPr>
          <w:rFonts w:eastAsia="Times New Roman" w:cs="Times New Roman"/>
          <w:b/>
          <w:bCs/>
          <w:szCs w:val="24"/>
          <w:lang w:eastAsia="lt-LT"/>
        </w:rPr>
        <w:t>Įstatymo paskirtis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Šis įstatymas reglamentuoja neformalųjį suaugusiųjų švietimą ir tęstinį mokymąsi, jų sandaros, vykdymo ir valdymo pagrindus. Įstatymo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2 straipsnis</w:t>
      </w:r>
      <w:r w:rsidRPr="00C76BDF">
        <w:rPr>
          <w:rFonts w:eastAsia="Times New Roman" w:cs="Times New Roman"/>
          <w:b/>
          <w:bCs/>
          <w:i/>
          <w:iCs/>
          <w:szCs w:val="24"/>
          <w:lang w:eastAsia="lt-LT"/>
        </w:rPr>
        <w:t xml:space="preserve">. </w:t>
      </w:r>
      <w:r w:rsidRPr="00C76BDF">
        <w:rPr>
          <w:rFonts w:eastAsia="Times New Roman" w:cs="Times New Roman"/>
          <w:b/>
          <w:bCs/>
          <w:szCs w:val="24"/>
          <w:lang w:eastAsia="lt-LT"/>
        </w:rPr>
        <w:t>Pagrindinės šio įstatymo sąvokos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w:t>
      </w:r>
      <w:r w:rsidRPr="00C76BDF">
        <w:rPr>
          <w:rFonts w:eastAsia="Times New Roman" w:cs="Times New Roman"/>
          <w:b/>
          <w:bCs/>
          <w:szCs w:val="24"/>
          <w:lang w:eastAsia="lt-LT"/>
        </w:rPr>
        <w:t xml:space="preserve"> </w:t>
      </w:r>
      <w:proofErr w:type="spellStart"/>
      <w:r w:rsidRPr="00C76BDF">
        <w:rPr>
          <w:rFonts w:eastAsia="Times New Roman" w:cs="Times New Roman"/>
          <w:b/>
          <w:bCs/>
          <w:szCs w:val="24"/>
          <w:lang w:eastAsia="lt-LT"/>
        </w:rPr>
        <w:t>Andragogas</w:t>
      </w:r>
      <w:proofErr w:type="spellEnd"/>
      <w:r w:rsidRPr="00C76BDF">
        <w:rPr>
          <w:rFonts w:eastAsia="Times New Roman" w:cs="Times New Roman"/>
          <w:b/>
          <w:bCs/>
          <w:szCs w:val="24"/>
          <w:lang w:eastAsia="lt-LT"/>
        </w:rPr>
        <w:t xml:space="preserve"> </w:t>
      </w:r>
      <w:r w:rsidRPr="00C76BDF">
        <w:rPr>
          <w:rFonts w:eastAsia="Times New Roman" w:cs="Times New Roman"/>
          <w:szCs w:val="24"/>
          <w:lang w:eastAsia="lt-LT"/>
        </w:rPr>
        <w:t>– asmuo, įgijęs valstybės nustatytą išsilavinimą ir kompetencijas, patvirtinančias galimybę mokyti suaugusiuosius.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lastRenderedPageBreak/>
        <w:t>2.</w:t>
      </w:r>
      <w:r w:rsidRPr="00C76BDF">
        <w:rPr>
          <w:rFonts w:eastAsia="Times New Roman" w:cs="Times New Roman"/>
          <w:b/>
          <w:bCs/>
          <w:szCs w:val="24"/>
          <w:lang w:eastAsia="lt-LT"/>
        </w:rPr>
        <w:t xml:space="preserve"> Mokymasis visą gyvenimą</w:t>
      </w:r>
      <w:r w:rsidRPr="00C76BDF">
        <w:rPr>
          <w:rFonts w:eastAsia="Times New Roman" w:cs="Times New Roman"/>
          <w:szCs w:val="24"/>
          <w:lang w:eastAsia="lt-LT"/>
        </w:rPr>
        <w:t xml:space="preserve"> – visa mokymosi bet kuriuo asmens amžiaus tarpsniu veikla siekiant tobulinti asmenines, pilietines, socialines ir profesines kompetencijas.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3. </w:t>
      </w:r>
      <w:r w:rsidRPr="00C76BDF">
        <w:rPr>
          <w:rFonts w:eastAsia="Times New Roman" w:cs="Times New Roman"/>
          <w:b/>
          <w:bCs/>
          <w:szCs w:val="24"/>
          <w:lang w:eastAsia="lt-LT"/>
        </w:rPr>
        <w:t>Neformaliojo suaugusiųjų švietimo dalyviai</w:t>
      </w:r>
      <w:r w:rsidRPr="00C76BDF">
        <w:rPr>
          <w:rFonts w:eastAsia="Times New Roman" w:cs="Times New Roman"/>
          <w:szCs w:val="24"/>
          <w:lang w:eastAsia="lt-LT"/>
        </w:rPr>
        <w:t xml:space="preserve"> – ne jaunesni negu 18 metų asmenys, kurie mokosi pagal neformaliojo suaugusiųjų švietimo programas.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4. </w:t>
      </w:r>
      <w:r w:rsidRPr="00C76BDF">
        <w:rPr>
          <w:rFonts w:eastAsia="Times New Roman" w:cs="Times New Roman"/>
          <w:b/>
          <w:bCs/>
          <w:szCs w:val="24"/>
          <w:lang w:eastAsia="lt-LT"/>
        </w:rPr>
        <w:t>Neformaliojo suaugusiųjų švietimo ir tęstinio mokymosi teikėjas</w:t>
      </w:r>
      <w:r w:rsidRPr="00C76BDF">
        <w:rPr>
          <w:rFonts w:eastAsia="Times New Roman" w:cs="Times New Roman"/>
          <w:szCs w:val="24"/>
          <w:lang w:eastAsia="lt-LT"/>
        </w:rPr>
        <w:t xml:space="preserve"> – mokykla, laisvasis mokytojas arba kitas švietimo teikėjas (biblioteka, muziejus, trečiojo amžiaus universitetas, švietimo centras ir kita</w:t>
      </w:r>
      <w:r w:rsidRPr="00C76BDF">
        <w:rPr>
          <w:rFonts w:eastAsia="Times New Roman" w:cs="Times New Roman"/>
          <w:b/>
          <w:bCs/>
          <w:szCs w:val="24"/>
          <w:lang w:eastAsia="lt-LT"/>
        </w:rPr>
        <w:t xml:space="preserve"> </w:t>
      </w:r>
      <w:r w:rsidRPr="00C76BDF">
        <w:rPr>
          <w:rFonts w:eastAsia="Times New Roman" w:cs="Times New Roman"/>
          <w:szCs w:val="24"/>
          <w:lang w:eastAsia="lt-LT"/>
        </w:rPr>
        <w:t>įstaiga, įmonė, organizacija, taip pat valstybėje narėje įsteigtas juridinis asmuo arba kita organizacija ar Lietuvos Respublikoje įsteigti jų padaliniai, kuriems švietimas nėra pagrindinė veikla), teisės aktų nustatyta tvarka turintys teisę vykdyti neformalųjį suaugusiųjų švietimą ir tęstinį mokymąsi.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5.</w:t>
      </w:r>
      <w:r w:rsidRPr="00C76BDF">
        <w:rPr>
          <w:rFonts w:eastAsia="Times New Roman" w:cs="Times New Roman"/>
          <w:b/>
          <w:bCs/>
          <w:szCs w:val="24"/>
          <w:lang w:eastAsia="lt-LT"/>
        </w:rPr>
        <w:t xml:space="preserve"> Neformalusis suaugusiųjų švietimas</w:t>
      </w:r>
      <w:r w:rsidRPr="00C76BDF">
        <w:rPr>
          <w:rFonts w:eastAsia="Times New Roman" w:cs="Times New Roman"/>
          <w:szCs w:val="24"/>
          <w:lang w:eastAsia="lt-LT"/>
        </w:rPr>
        <w:t xml:space="preserve"> – asmens ir visuomenės interesus atliepiantis švietimas pagal įvairias neformaliojo suaugusiųjų švietimo poreikių tenkinimo, kvalifikacijos tobulinimo, papildomos kompetencijos įgijimo programas, teikiamas ne jaunesniems negu 18 metų asmenims.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6. </w:t>
      </w:r>
      <w:r w:rsidRPr="00C76BDF">
        <w:rPr>
          <w:rFonts w:eastAsia="Times New Roman" w:cs="Times New Roman"/>
          <w:b/>
          <w:bCs/>
          <w:szCs w:val="24"/>
          <w:lang w:eastAsia="lt-LT"/>
        </w:rPr>
        <w:t>Savišvieta</w:t>
      </w:r>
      <w:r w:rsidRPr="00C76BDF">
        <w:rPr>
          <w:rFonts w:eastAsia="Times New Roman" w:cs="Times New Roman"/>
          <w:szCs w:val="24"/>
          <w:lang w:eastAsia="lt-LT"/>
        </w:rPr>
        <w:t xml:space="preserve"> – savarankiškas mokymasis, kuris remiasi asmens iš įvairių šaltinių gaunamomis žiniomis ir jo praktine patirtimi.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7.</w:t>
      </w:r>
      <w:r w:rsidRPr="00C76BDF">
        <w:rPr>
          <w:rFonts w:eastAsia="Times New Roman" w:cs="Times New Roman"/>
          <w:b/>
          <w:bCs/>
          <w:szCs w:val="24"/>
          <w:lang w:eastAsia="lt-LT"/>
        </w:rPr>
        <w:t xml:space="preserve"> Tęstinis mokymasis </w:t>
      </w:r>
      <w:r w:rsidRPr="00C76BDF">
        <w:rPr>
          <w:rFonts w:eastAsia="Times New Roman" w:cs="Times New Roman"/>
          <w:szCs w:val="24"/>
          <w:lang w:eastAsia="lt-LT"/>
        </w:rPr>
        <w:t>– mokymosi visą gyvenimą dalis, apimanti formalųjį, neformalųjį švietimą ir savišvietą, kai asmens įgyta kompetencija gali būti pripažįstama kaip baigta formaliojo švietimo programos dalis.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3 straipsnis. Neformaliojo suaugusiųjų švietimo ir tęstinio mokymosi principai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Neformaliojo suaugusiųjų švietimo ir tęstinio mokymosi principai yra šie:</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1) </w:t>
      </w:r>
      <w:proofErr w:type="spellStart"/>
      <w:r w:rsidRPr="00C76BDF">
        <w:rPr>
          <w:rFonts w:eastAsia="Times New Roman" w:cs="Times New Roman"/>
          <w:szCs w:val="24"/>
          <w:lang w:eastAsia="lt-LT"/>
        </w:rPr>
        <w:t>kontekstualumas</w:t>
      </w:r>
      <w:proofErr w:type="spellEnd"/>
      <w:r w:rsidRPr="00C76BDF">
        <w:rPr>
          <w:rFonts w:eastAsia="Times New Roman" w:cs="Times New Roman"/>
          <w:szCs w:val="24"/>
          <w:lang w:eastAsia="lt-LT"/>
        </w:rPr>
        <w:t xml:space="preserve"> – neformalusis suaugusiųjų švietimas ir tęstinis mokymasis yra glaudžiai susiję su krašto ūkinės, socialinės, mokslinės ir kultūrinės raidos kontekstu, kartu su juo atsinaujina ir atitinka nuolat kintančias visuomenės reikmes;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lygios galimybės – neformalusis suaugusiųjų švietimas ir tęstinis mokymasis yra socialiai teisingi, užtikrina asmenų lygias teises ir galimybes, nepaisant lyties, rasės, tautybės, kalbos, kilmės, socialinės padėties, tikėjimo, įsitikinimų ar pažiūrų, amžiaus, lytinės orientacijos, negalios, etninės priklausomybės, religijos; kiekvienam asmeniui jie laiduoja švietimo prieinamumą, sudaro sąlygas tobulinti turimas kompetencijas, kvalifikaciją ar įgyti naujų kompetencijų;</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tęstinumas – neformalusis suaugusiųjų švietimas ir tęstinis mokymasis lanksčiai reaguoja į pokyčius ir perima gerąją patirtį, sudaro sąlygas mokytis visą gyvenimą;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veiksmingumas – neformaliuoju suaugusiųjų švietimu ir tęstiniu mokymusi siekiama kokybiškų rezultatų sumaniai ir taupiai naudojant turimus išteklius, taikant įvairias neformaliojo suaugusiųjų švietimo ir tęstinio mokymosi organizavimo formas, nuolat analizuojant, vertinant ir planuojant veiklą, remiantis veiksminga vadyba – tinkamais ir laiku priimamais sprendimais.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4 straipsnis.</w:t>
      </w:r>
      <w:r w:rsidRPr="00C76BDF">
        <w:rPr>
          <w:rFonts w:eastAsia="Times New Roman" w:cs="Times New Roman"/>
          <w:b/>
          <w:bCs/>
          <w:i/>
          <w:iCs/>
          <w:szCs w:val="24"/>
          <w:lang w:eastAsia="lt-LT"/>
        </w:rPr>
        <w:t xml:space="preserve"> </w:t>
      </w:r>
      <w:r w:rsidRPr="00C76BDF">
        <w:rPr>
          <w:rFonts w:eastAsia="Times New Roman" w:cs="Times New Roman"/>
          <w:b/>
          <w:bCs/>
          <w:szCs w:val="24"/>
          <w:lang w:eastAsia="lt-LT"/>
        </w:rPr>
        <w:t>Neformaliojo suaugusiųjų švietimo ir tęstinio mokymosi tikslai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Pagrindiniai neformaliojo suaugusiųjų švietimo ir tęstinio mokymosi tikslai, atsižvelgiant į valstybės vykdomą kryptingą mokymosi visą gyvenimą plėtros politiką, suformuotas veiklos kryptis ir plėtros gaires, yra sudaryti sąlygas asmeniui: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tenkinti savišvietos poreikius;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lavinti kūrybines galias ir gebėjimus;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įgyti ir tobulinti bendrąsias ir profesines kompetencijas;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tapti aktyviu demokratinės visuomenės nariu.</w:t>
      </w:r>
    </w:p>
    <w:p w:rsidR="00C76BDF" w:rsidRPr="00C76BDF" w:rsidRDefault="00C76BDF" w:rsidP="00C76BDF">
      <w:pPr>
        <w:spacing w:before="100" w:beforeAutospacing="1" w:after="100" w:afterAutospacing="1" w:line="360" w:lineRule="auto"/>
        <w:ind w:right="206"/>
        <w:jc w:val="center"/>
        <w:rPr>
          <w:rFonts w:eastAsia="Times New Roman" w:cs="Times New Roman"/>
          <w:szCs w:val="24"/>
          <w:lang w:eastAsia="lt-LT"/>
        </w:rPr>
      </w:pPr>
      <w:r w:rsidRPr="00C76BDF">
        <w:rPr>
          <w:rFonts w:eastAsia="Times New Roman" w:cs="Times New Roman"/>
          <w:b/>
          <w:bCs/>
          <w:caps/>
          <w:szCs w:val="24"/>
          <w:lang w:eastAsia="lt-LT"/>
        </w:rPr>
        <w:t>Antrasis skirsnis</w:t>
      </w:r>
    </w:p>
    <w:p w:rsidR="00C76BDF" w:rsidRPr="00C76BDF" w:rsidRDefault="00C76BDF" w:rsidP="00C76BDF">
      <w:pPr>
        <w:spacing w:before="100" w:beforeAutospacing="1" w:after="100" w:afterAutospacing="1" w:line="360" w:lineRule="auto"/>
        <w:ind w:firstLine="709"/>
        <w:jc w:val="center"/>
        <w:rPr>
          <w:rFonts w:eastAsia="Times New Roman" w:cs="Times New Roman"/>
          <w:szCs w:val="24"/>
          <w:lang w:eastAsia="lt-LT"/>
        </w:rPr>
      </w:pPr>
      <w:r w:rsidRPr="00C76BDF">
        <w:rPr>
          <w:rFonts w:eastAsia="Times New Roman" w:cs="Times New Roman"/>
          <w:b/>
          <w:bCs/>
          <w:szCs w:val="24"/>
          <w:lang w:eastAsia="lt-LT"/>
        </w:rPr>
        <w:t>NEFORMALIOJO SUAUGUSIŲJŲ ŠVIETIMO IR TĘSTINIO MOKYMOSI ORGANIZAVIMAS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5 straipsnis. Neformaliojo suaugusiųjų švietimo ir tęstinio mokymosi organizavimas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Neformaliojo suaugusiųjų švietimo ir tęstinio mokymosi organizavimas apima: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neformaliojo suaugusiųjų švietimo ir tęstinio mokymosi planavimą ir įgyvendinimą;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neformaliojo suaugusiųjų švietimo ir tęstinio mokymosi dalyvių informavimą ir konsultavimą;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neformaliojo suaugusiųjų švietimo ir tęstinio mokymosi kokybės užtikrinimą;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neformaliojo suaugusiųjų švietimo ir tęstinio mokymosi įgyvendinimo stebėseną ir vertinimą;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5) neformaliojo švietimo ir savišvietos būdu asmenų įgytų kompetencijų pripažinimą.</w:t>
      </w:r>
    </w:p>
    <w:p w:rsidR="00C76BDF" w:rsidRPr="00C76BDF" w:rsidRDefault="00C76BDF" w:rsidP="00C76BDF">
      <w:pPr>
        <w:spacing w:before="100" w:beforeAutospacing="1" w:after="100" w:afterAutospacing="1" w:line="360" w:lineRule="auto"/>
        <w:ind w:right="206" w:firstLine="709"/>
        <w:jc w:val="both"/>
        <w:rPr>
          <w:rFonts w:eastAsia="Times New Roman" w:cs="Times New Roman"/>
          <w:szCs w:val="24"/>
          <w:lang w:eastAsia="lt-LT"/>
        </w:rPr>
      </w:pPr>
      <w:r w:rsidRPr="00C76BDF">
        <w:rPr>
          <w:rFonts w:eastAsia="Times New Roman" w:cs="Times New Roman"/>
          <w:b/>
          <w:bCs/>
          <w:szCs w:val="24"/>
          <w:lang w:eastAsia="lt-LT"/>
        </w:rPr>
        <w:t>6</w:t>
      </w:r>
      <w:r w:rsidRPr="00C76BDF">
        <w:rPr>
          <w:rFonts w:eastAsia="Times New Roman" w:cs="Times New Roman"/>
          <w:szCs w:val="24"/>
          <w:lang w:eastAsia="lt-LT"/>
        </w:rPr>
        <w:t xml:space="preserve"> </w:t>
      </w:r>
      <w:r w:rsidRPr="00C76BDF">
        <w:rPr>
          <w:rFonts w:eastAsia="Times New Roman" w:cs="Times New Roman"/>
          <w:b/>
          <w:bCs/>
          <w:szCs w:val="24"/>
          <w:lang w:eastAsia="lt-LT"/>
        </w:rPr>
        <w:t>straipsnis. Neformalusis suaugusiųjų švietimas ir tęstinis mokymasis</w:t>
      </w:r>
    </w:p>
    <w:p w:rsidR="00C76BDF" w:rsidRPr="00C76BDF" w:rsidRDefault="00C76BDF" w:rsidP="00C76BDF">
      <w:pPr>
        <w:spacing w:before="100" w:beforeAutospacing="1" w:after="100" w:afterAutospacing="1" w:line="360" w:lineRule="auto"/>
        <w:ind w:right="206" w:firstLine="709"/>
        <w:jc w:val="both"/>
        <w:rPr>
          <w:rFonts w:eastAsia="Times New Roman" w:cs="Times New Roman"/>
          <w:szCs w:val="24"/>
          <w:lang w:eastAsia="lt-LT"/>
        </w:rPr>
      </w:pPr>
      <w:r w:rsidRPr="00C76BDF">
        <w:rPr>
          <w:rFonts w:eastAsia="Times New Roman" w:cs="Times New Roman"/>
          <w:szCs w:val="24"/>
          <w:lang w:eastAsia="lt-LT"/>
        </w:rPr>
        <w:t>Neformalusis suaugusiųjų švietimas ir tęstinis mokymasis apima:</w:t>
      </w:r>
    </w:p>
    <w:p w:rsidR="00C76BDF" w:rsidRPr="00C76BDF" w:rsidRDefault="00C76BDF" w:rsidP="00C76BDF">
      <w:pPr>
        <w:spacing w:before="100" w:beforeAutospacing="1" w:after="100" w:afterAutospacing="1" w:line="360" w:lineRule="auto"/>
        <w:ind w:right="206" w:firstLine="709"/>
        <w:jc w:val="both"/>
        <w:rPr>
          <w:rFonts w:eastAsia="Times New Roman" w:cs="Times New Roman"/>
          <w:szCs w:val="24"/>
          <w:lang w:eastAsia="lt-LT"/>
        </w:rPr>
      </w:pPr>
      <w:r w:rsidRPr="00C76BDF">
        <w:rPr>
          <w:rFonts w:eastAsia="Times New Roman" w:cs="Times New Roman"/>
          <w:szCs w:val="24"/>
          <w:lang w:eastAsia="lt-LT"/>
        </w:rPr>
        <w:t xml:space="preserve">1) neformaliojo suaugusiųjų švietimo ir tęstinio mokymosi dalyvius;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neformaliojo suaugusiųjų švietimo ir tęstinio mokymosi teikėjus;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3) neformaliojo suaugusiųjų švietimo ir tęstinio mokymosi programas.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7 straipsnis. Ryšys tarp formaliojo ir neformaliojo suaugusiųjų švietimo</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Formaliojo švietimo programas vykdančios mokyklos: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1) gali vykdyti neformaliojo suaugusiųjų švietimo programas;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šio įstatymo ir kitų teisės aktų nustatyta tvarka pripažįsta neformaliojo švietimo ir savišvietos būdu asmenų įgytas kompetencijas;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3) švietimo ir mokslo ministro nustatyta tvarka pagal kompetenciją dalyvauja užtikrinant neformaliojo suaugusiųjų švietimo kokybę;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teikia informaciją apie jų vykdomas neformaliojo suaugusiųjų švietimo programas, neformaliojo švietimo ir savišvietos būdu asmenų įgytų kompetencijų pripažinimą ir konsultuoja šiais klausimais.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8 straipsnis. Neformaliojo suaugusiųjų švietimo ir tęstinio mokymosi planavimas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w:t>
      </w:r>
      <w:r w:rsidRPr="00C76BDF">
        <w:rPr>
          <w:rFonts w:eastAsia="Times New Roman" w:cs="Times New Roman"/>
          <w:b/>
          <w:bCs/>
          <w:szCs w:val="24"/>
          <w:lang w:eastAsia="lt-LT"/>
        </w:rPr>
        <w:t xml:space="preserve"> </w:t>
      </w:r>
      <w:r w:rsidRPr="00C76BDF">
        <w:rPr>
          <w:rFonts w:eastAsia="Times New Roman" w:cs="Times New Roman"/>
          <w:szCs w:val="24"/>
          <w:lang w:eastAsia="lt-LT"/>
        </w:rPr>
        <w:t>Lietuvos Respublikos Vyriausybė (toliau – Vyriausybė) tvirtina Neformaliojo suaugusiųjų švietimo ir tęstinio mokymosi plėtros programą, kurioje nustato pagrindines neformaliojo suaugusiųjų švietimo ir tęstinio mokymosi plėtros kryptis. Švietimo ir mokslo ministras, pasikonsultavęs su Lietuvos neformaliojo suaugusiųjų švietimo taryba ir kitais socialiniais partneriais, teisės aktų nustatyta tvarka trejiems metams tvirtina Neformaliojo suaugusiųjų švietimo ir tęstinio mokymosi plėtros programos įgyvendinimo veiksmų planą.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w:t>
      </w:r>
      <w:r w:rsidRPr="00C76BDF">
        <w:rPr>
          <w:rFonts w:eastAsia="Times New Roman" w:cs="Times New Roman"/>
          <w:szCs w:val="24"/>
          <w:highlight w:val="yellow"/>
          <w:lang w:eastAsia="lt-LT"/>
        </w:rPr>
        <w:t>Savivaldybės taryba, atsižvelgdama į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 ir skiria jo įgyvendinimo koordinatorių.</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Vykdyti neformaliojo suaugusiųjų švietimo ir tęstinio mokymosi</w:t>
      </w:r>
      <w:r w:rsidRPr="00C76BDF">
        <w:rPr>
          <w:rFonts w:eastAsia="Times New Roman" w:cs="Times New Roman"/>
          <w:b/>
          <w:bCs/>
          <w:szCs w:val="24"/>
          <w:lang w:eastAsia="lt-LT"/>
        </w:rPr>
        <w:t xml:space="preserve"> </w:t>
      </w:r>
      <w:r w:rsidRPr="00C76BDF">
        <w:rPr>
          <w:rFonts w:eastAsia="Times New Roman" w:cs="Times New Roman"/>
          <w:szCs w:val="24"/>
          <w:lang w:eastAsia="lt-LT"/>
        </w:rPr>
        <w:t>programas, finansuojamas iš valstybės ir savivaldybių biudžetų lėšų, turi teisę neformaliojo suaugusiųjų švietimo ir tęstinio mokymosi</w:t>
      </w:r>
      <w:r w:rsidRPr="00C76BDF">
        <w:rPr>
          <w:rFonts w:eastAsia="Times New Roman" w:cs="Times New Roman"/>
          <w:b/>
          <w:bCs/>
          <w:szCs w:val="24"/>
          <w:lang w:eastAsia="lt-LT"/>
        </w:rPr>
        <w:t xml:space="preserve"> </w:t>
      </w:r>
      <w:r w:rsidRPr="00C76BDF">
        <w:rPr>
          <w:rFonts w:eastAsia="Times New Roman" w:cs="Times New Roman"/>
          <w:szCs w:val="24"/>
          <w:lang w:eastAsia="lt-LT"/>
        </w:rPr>
        <w:t>teikėjai, įvertinti</w:t>
      </w:r>
      <w:r w:rsidRPr="00C76BDF">
        <w:rPr>
          <w:rFonts w:eastAsia="Times New Roman" w:cs="Times New Roman"/>
          <w:b/>
          <w:bCs/>
          <w:szCs w:val="24"/>
          <w:lang w:eastAsia="lt-LT"/>
        </w:rPr>
        <w:t xml:space="preserve"> </w:t>
      </w:r>
      <w:r w:rsidRPr="00C76BDF">
        <w:rPr>
          <w:rFonts w:eastAsia="Times New Roman" w:cs="Times New Roman"/>
          <w:szCs w:val="24"/>
          <w:lang w:eastAsia="lt-LT"/>
        </w:rPr>
        <w:t>švietimo ir mokslo ministro nustatyta tvarka.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4. Valstybės tarnautojų, kitų biudžetinių įstaigų darbuotojų kvalifikaciją gali tobulinti neformaliojo suaugusiųjų švietimo ir tęstinio mokymosi teikėjai, kuriems tokia teisė yra suteikta teisės aktų nustatyta tvarka.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 xml:space="preserve">9 straipsnis. Visuomenės informavimas ir konsultavimas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Švietimo ir mokslo ministro įgaliotos institucijos: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koordinuoja suaugusiųjų informavimą apie neformaliojo suaugusiųjų švietimo ir tęstinio mokymosi teikėjus, neformaliojo suaugusiųjų švietimo ir tęstinio mokymosi programas, neformaliojo suaugusiųjų švietimo ir tęstinio mokymosi finansavimo galimybes Lietuvoje, konsultavimą šiais klausimais;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pagal kompetenciją prižiūri suaugusiųjų švietimui skirtas informacines sistemas, kurių duomenys yra prieinami neformaliojo suaugusiųjų švietimo ir tęstinio mokymosi teikėjams, dalyviams ir kitiems asmenims.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highlight w:val="yellow"/>
          <w:lang w:eastAsia="lt-LT"/>
        </w:rPr>
      </w:pPr>
      <w:r w:rsidRPr="00C76BDF">
        <w:rPr>
          <w:rFonts w:eastAsia="Times New Roman" w:cs="Times New Roman"/>
          <w:szCs w:val="24"/>
          <w:lang w:eastAsia="lt-LT"/>
        </w:rPr>
        <w:t xml:space="preserve">2. </w:t>
      </w:r>
      <w:r w:rsidRPr="00C76BDF">
        <w:rPr>
          <w:rFonts w:eastAsia="Times New Roman" w:cs="Times New Roman"/>
          <w:szCs w:val="24"/>
          <w:highlight w:val="yellow"/>
          <w:lang w:eastAsia="lt-LT"/>
        </w:rPr>
        <w:t>Savivaldybės administracijos direktoriaus įgaliota institucija organizuoja visuomenės informavimą apie neformalųjį suaugusiųjų švietimą ir tęstinį mokymąsi ir konsultavimą šiais klausimais savivaldybės teritorijoje, sudaro sąlygas neformaliojo suaugusiųjų švietimo ir tęstinio mokymosi teikėjams savivaldybės informacinėse sistemose viešinti aktualią informaciją apie vykdomas neformaliojo suaugusiųjų švietimo ir tęstinio mokymosi programas ir renginius.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highlight w:val="yellow"/>
          <w:lang w:eastAsia="lt-LT"/>
        </w:rPr>
        <w:t xml:space="preserve">3. Neformaliojo suaugusiųjų švietimo ir tęstinio mokymosi teikėjai viešina aktualią ir naujausią informaciją apie vykdomas neformaliojo suaugusiųjų švietimo ir tęstinio mokymosi programas, finansuojamas iš </w:t>
      </w:r>
      <w:r w:rsidRPr="00C76BDF">
        <w:rPr>
          <w:rFonts w:eastAsia="Times New Roman" w:cs="Times New Roman"/>
          <w:color w:val="000000"/>
          <w:szCs w:val="24"/>
          <w:highlight w:val="yellow"/>
          <w:lang w:eastAsia="lt-LT"/>
        </w:rPr>
        <w:t xml:space="preserve">valstybės ir savivaldybių </w:t>
      </w:r>
      <w:r w:rsidRPr="00C76BDF">
        <w:rPr>
          <w:rFonts w:eastAsia="Times New Roman" w:cs="Times New Roman"/>
          <w:szCs w:val="24"/>
          <w:highlight w:val="yellow"/>
          <w:lang w:eastAsia="lt-LT"/>
        </w:rPr>
        <w:t xml:space="preserve">biudžetų </w:t>
      </w:r>
      <w:r w:rsidRPr="00C76BDF">
        <w:rPr>
          <w:rFonts w:eastAsia="Times New Roman" w:cs="Times New Roman"/>
          <w:color w:val="000000"/>
          <w:szCs w:val="24"/>
          <w:highlight w:val="yellow"/>
          <w:lang w:eastAsia="lt-LT"/>
        </w:rPr>
        <w:t>lėšų</w:t>
      </w:r>
      <w:r w:rsidRPr="00C76BDF">
        <w:rPr>
          <w:rFonts w:eastAsia="Times New Roman" w:cs="Times New Roman"/>
          <w:szCs w:val="24"/>
          <w:highlight w:val="yellow"/>
          <w:lang w:eastAsia="lt-LT"/>
        </w:rPr>
        <w:t>.</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10 straipsnis. Neformaliojo suaugusiųjų švietimo ir tęstinio mokymosi kokybės užtikrinimas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Už neformaliojo suaugusiųjų švietimo ir tęstinio mokymosi kokybę atsako neformaliojo suaugusiųjų švietimo ir tęstinio mokymosi teikėjas ir jo savininko teises ir pareigas įgyvendinanti institucija (dalyvių susirinkimas).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Neformaliojo suaugusiųjų švietimo ir tęstinio mokymosi kokybės gerinimo, veiklos įsivertinimo, išorinio vertinimo, dalyvių pažangos ir pasiekimų įsivertinimo, finansuojamų iš valstybės ir savivaldybių biudžetų lėšų, kokybės užtikrinimo tvarką nustato Vyriausybė, pasikonsultavusi su Lietuvos neformaliojo suaugusiųjų švietimo taryba.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 xml:space="preserve">11 straipsnis. Neformaliojo švietimo ir savišvietos būdu asmenų įgytų kompetencijų pripažinimas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1. Neformaliojo švietimo ar savišvietos būdu asmens įgyta bendroji ar specialioji kompetencija švietimo ir mokslo ministro nustatyta tvarka gali būti pripažįstama kaip baigta formaliojo švietimo programos (išskyrus studijų programas) dalis arba aukštosios mokyklos nustatyta tvarka – kaip studijų programos dalis.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Neformaliojo švietimo ar savišvietos būdu asmens įgyta bendroji ar specialioji kompetencija teisės aktų nustatyta tvarka gali būti pripažinta ir įteisinta kaip kompetencija, reikalinga įstatymų reglamentuojamam darbui ar funkcijai atlikti.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3. Neformaliojo švietimo ar savišvietos būdu įgyta asmens bendroji ar specialioji kompetencija gali būti pripažinta ir įteisinta kaip kvalifikacija, atitinkanti tam tikrą Lietuvos kvalifikacijų sandaroje nustatytą lygį.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12 straipsnis.</w:t>
      </w:r>
      <w:r w:rsidRPr="00C76BDF">
        <w:rPr>
          <w:rFonts w:eastAsia="Times New Roman" w:cs="Times New Roman"/>
          <w:b/>
          <w:bCs/>
          <w:i/>
          <w:iCs/>
          <w:szCs w:val="24"/>
          <w:lang w:eastAsia="lt-LT"/>
        </w:rPr>
        <w:t xml:space="preserve"> </w:t>
      </w:r>
      <w:r w:rsidRPr="00C76BDF">
        <w:rPr>
          <w:rFonts w:eastAsia="Times New Roman" w:cs="Times New Roman"/>
          <w:b/>
          <w:bCs/>
          <w:szCs w:val="24"/>
          <w:lang w:eastAsia="lt-LT"/>
        </w:rPr>
        <w:t>Lietuvos neformaliojo suaugusiųjų švietimo taryba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Lietuvos neformaliojo suaugusiųjų švietimo taryba yra ekspertinė patariamoji institucija, kuri svarsto pagrindines Lietuvos neformaliojo suaugusiųjų švietimo ir tęstinio mokymosi plėtros perspektyvas ir strategines kryptis ir šiais klausimais teikia išvadas ir siūlymus.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Lietuvos neformaliojo suaugusiųjų švietimo taryba sudaroma iš valstybės ir savivaldybių institucijų, darbdavių ir darbuotojų interesams atstovaujančių organizacijų, kitiems visuomenės interesams atstovaujančių organizacijų (neformaliojo suaugusiųjų švietimo ir tęstinio mokymosi) atstovų. Lietuvos neformaliojo suaugusiųjų švietimo tarybą sudaro penkiolika asmenų.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Lietuvos neformaliojo suaugusiųjų švietimo tarybos nuostatus tvirtina Vyriausybė, jos sudėtį tvirtina švietimo ir mokslo ministras.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13 straipsnis. Trečiojo amžiaus universitetas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Trečiojo amžiaus universitetas – neformaliojo suaugusiųjų švietimo institucija (mokykla), padalinys arba programa, teikiantys vyresnio amžiaus asmenų neformalųjį švietimą ir tęstinį mokymąsi, tenkinantys jų žinių ir kompetencijos plėtotės ir kultūrinius poreikius.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Trečiojo amžiaus universitetas vyresnio amžiaus žmonių neformaliajam švietimui ir tęstiniam mokymuisi vykdyti, jų žinių, kompetencijos plėtotės ir kultūriniams poreikiams tenkinti gali gauti konkurso būdu valstybės paramą.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 xml:space="preserve">14 straipsnis. </w:t>
      </w:r>
      <w:proofErr w:type="spellStart"/>
      <w:r w:rsidRPr="00C76BDF">
        <w:rPr>
          <w:rFonts w:eastAsia="Times New Roman" w:cs="Times New Roman"/>
          <w:b/>
          <w:bCs/>
          <w:szCs w:val="24"/>
          <w:lang w:eastAsia="lt-LT"/>
        </w:rPr>
        <w:t>Andragogo</w:t>
      </w:r>
      <w:proofErr w:type="spellEnd"/>
      <w:r w:rsidRPr="00C76BDF">
        <w:rPr>
          <w:rFonts w:eastAsia="Times New Roman" w:cs="Times New Roman"/>
          <w:b/>
          <w:bCs/>
          <w:szCs w:val="24"/>
          <w:lang w:eastAsia="lt-LT"/>
        </w:rPr>
        <w:t xml:space="preserve"> profesija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1. </w:t>
      </w:r>
      <w:proofErr w:type="spellStart"/>
      <w:r w:rsidRPr="00C76BDF">
        <w:rPr>
          <w:rFonts w:eastAsia="Times New Roman" w:cs="Times New Roman"/>
          <w:szCs w:val="24"/>
          <w:lang w:eastAsia="lt-LT"/>
        </w:rPr>
        <w:t>Andragogo</w:t>
      </w:r>
      <w:proofErr w:type="spellEnd"/>
      <w:r w:rsidRPr="00C76BDF">
        <w:rPr>
          <w:rFonts w:eastAsia="Times New Roman" w:cs="Times New Roman"/>
          <w:szCs w:val="24"/>
          <w:lang w:eastAsia="lt-LT"/>
        </w:rPr>
        <w:t xml:space="preserve"> profesijos paskirtis yra ugdyti suaugusiųjų gebėjimą mokytis ir taip didinti suaugusiųjų įsidarbinimo galimybes, skatinti verslumą, nuolat siekti žinių savo ir visuomenės gerovei, plėtoti kultūrines kompetencijas.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2. </w:t>
      </w:r>
      <w:proofErr w:type="spellStart"/>
      <w:r w:rsidRPr="00C76BDF">
        <w:rPr>
          <w:rFonts w:eastAsia="Times New Roman" w:cs="Times New Roman"/>
          <w:szCs w:val="24"/>
          <w:lang w:eastAsia="lt-LT"/>
        </w:rPr>
        <w:t>Andragogo</w:t>
      </w:r>
      <w:proofErr w:type="spellEnd"/>
      <w:r w:rsidRPr="00C76BDF">
        <w:rPr>
          <w:rFonts w:eastAsia="Times New Roman" w:cs="Times New Roman"/>
          <w:szCs w:val="24"/>
          <w:lang w:eastAsia="lt-LT"/>
        </w:rPr>
        <w:t xml:space="preserve"> profesinės veiklos aprašą tvirtina, kvalifikacijos tobulinimo ir atestavimo tvarką nustato švietimo ir mokslo ministras.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15 straipsnis</w:t>
      </w:r>
      <w:r w:rsidRPr="00C76BDF">
        <w:rPr>
          <w:rFonts w:eastAsia="Times New Roman" w:cs="Times New Roman"/>
          <w:b/>
          <w:bCs/>
          <w:i/>
          <w:iCs/>
          <w:szCs w:val="24"/>
          <w:lang w:eastAsia="lt-LT"/>
        </w:rPr>
        <w:t xml:space="preserve">. </w:t>
      </w:r>
      <w:r w:rsidRPr="00C76BDF">
        <w:rPr>
          <w:rFonts w:eastAsia="Times New Roman" w:cs="Times New Roman"/>
          <w:b/>
          <w:bCs/>
          <w:szCs w:val="24"/>
          <w:lang w:eastAsia="lt-LT"/>
        </w:rPr>
        <w:t>Neformaliojo suaugusiųjų švietimo ir tęstinio mokymosi dalyvių teisės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Neformaliojo suaugusiųjų švietimo ir tęstinio mokymosi dalyviai turi teisę:</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nemokamai gauti informaciją apie neformaliojo suaugusiųjų švietimo ir tęstinio mokymosi teikėjus ir programas ir konsultacijas šiais klausimais;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pasirinkti neformaliojo suaugusiųjų švietimo ir tęstinio mokymosi teikėją ir programą;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į tinkamos kokybės neformalųjį suaugusiųjų švietimą ir tęstinį mokymąsi;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gauti materialią paramą iš valstybės ir (arba) savivaldybių pagal neformaliojo suaugusiųjų švietimo ir tęstinio mokymosi finansavimo programas;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5) į mokymosi atostogas teisės aktų nustatyta tvarka;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6) į neformaliojo švietimo ir savišvietos būdu įgytų kompetencijų pripažinimą.</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16</w:t>
      </w:r>
      <w:r w:rsidRPr="00C76BDF">
        <w:rPr>
          <w:rFonts w:eastAsia="Times New Roman" w:cs="Times New Roman"/>
          <w:szCs w:val="24"/>
          <w:lang w:eastAsia="lt-LT"/>
        </w:rPr>
        <w:t xml:space="preserve"> </w:t>
      </w:r>
      <w:r w:rsidRPr="00C76BDF">
        <w:rPr>
          <w:rFonts w:eastAsia="Times New Roman" w:cs="Times New Roman"/>
          <w:b/>
          <w:bCs/>
          <w:szCs w:val="24"/>
          <w:lang w:eastAsia="lt-LT"/>
        </w:rPr>
        <w:t>straipsnis. Neformaliojo suaugusiųjų švietimo ir tęstinio mokymosi teikėjų pareigos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Neformaliojo suaugusiųjų švietimo ir tęstinio mokymosi teikėjai privalo:</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1) sudaryti mokymo sutartį su neformaliojo suaugusiųjų švietimo ir tęstinio mokymosi dalyviu, jeigu neformalusis suaugusiųjų švietimas ir tęstinis mokymasis yra finansuojami iš valstybės ir savivaldybių biudžetų lėšų;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užtikrinti neformaliojo suaugusiųjų švietimo tęstinio mokymosi dalyviams tinkamos kokybės neformalųjį suaugusiųjų švietimą ir tęstinį mokymąsi;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viešai skelbti informaciją apie vykdomas neformaliojo suaugusiųjų švietimo ir tęstinio mokymosi programas ir teikti švietimo ir mokslo ministro arba savivaldybės įgaliotai institucijai, koordinuojančiai suaugusiųjų informavimą ir konsultavimą, informaciją apie vykdomas neformaliojo suaugusiųjų švietimo ir tęstinio mokymosi programas, finansuojamas iš valstybės ir savivaldybių biudžetų lėšų.</w:t>
      </w:r>
    </w:p>
    <w:p w:rsidR="00C76BDF" w:rsidRPr="00C76BDF" w:rsidRDefault="00C76BDF" w:rsidP="00C76BDF">
      <w:pPr>
        <w:spacing w:before="100" w:beforeAutospacing="1" w:after="100" w:afterAutospacing="1" w:line="360" w:lineRule="auto"/>
        <w:ind w:right="206"/>
        <w:jc w:val="center"/>
        <w:rPr>
          <w:rFonts w:eastAsia="Times New Roman" w:cs="Times New Roman"/>
          <w:szCs w:val="24"/>
          <w:lang w:eastAsia="lt-LT"/>
        </w:rPr>
      </w:pPr>
      <w:r w:rsidRPr="00C76BDF">
        <w:rPr>
          <w:rFonts w:eastAsia="Times New Roman" w:cs="Times New Roman"/>
          <w:b/>
          <w:bCs/>
          <w:caps/>
          <w:szCs w:val="24"/>
          <w:lang w:eastAsia="lt-LT"/>
        </w:rPr>
        <w:t>TREČIASIS skirsnis</w:t>
      </w:r>
    </w:p>
    <w:p w:rsidR="00C76BDF" w:rsidRPr="00C76BDF" w:rsidRDefault="00C76BDF" w:rsidP="00C76BDF">
      <w:pPr>
        <w:spacing w:before="100" w:beforeAutospacing="1" w:after="100" w:afterAutospacing="1" w:line="360" w:lineRule="auto"/>
        <w:ind w:firstLine="709"/>
        <w:jc w:val="center"/>
        <w:rPr>
          <w:rFonts w:eastAsia="Times New Roman" w:cs="Times New Roman"/>
          <w:szCs w:val="24"/>
          <w:lang w:eastAsia="lt-LT"/>
        </w:rPr>
      </w:pPr>
      <w:r w:rsidRPr="00C76BDF">
        <w:rPr>
          <w:rFonts w:eastAsia="Times New Roman" w:cs="Times New Roman"/>
          <w:b/>
          <w:bCs/>
          <w:szCs w:val="24"/>
          <w:lang w:eastAsia="lt-LT"/>
        </w:rPr>
        <w:t xml:space="preserve">NEFORMALIOJO SUAUGUSIŲJŲ ŠVIETIMO </w:t>
      </w:r>
      <w:r w:rsidRPr="00C76BDF">
        <w:rPr>
          <w:rFonts w:eastAsia="Times New Roman" w:cs="Times New Roman"/>
          <w:b/>
          <w:bCs/>
          <w:caps/>
          <w:szCs w:val="24"/>
          <w:lang w:eastAsia="lt-LT"/>
        </w:rPr>
        <w:t xml:space="preserve">ir tęstinio mokymosi </w:t>
      </w:r>
      <w:r w:rsidRPr="00C76BDF">
        <w:rPr>
          <w:rFonts w:eastAsia="Times New Roman" w:cs="Times New Roman"/>
          <w:b/>
          <w:bCs/>
          <w:szCs w:val="24"/>
          <w:lang w:eastAsia="lt-LT"/>
        </w:rPr>
        <w:t>FINANSAVIMAS IR RĖMIMAS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17 straipsnis. Neformaliojo suaugusiųjų švietimo ir tęstinio mokymosi finansavimas ir rėmimas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Neformaliojo suaugusiųjų švietimo ir tęstinio mokymosi finansavimo šaltiniai: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valstybės ir savivaldybių biudžetų lėšos;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darbdavio lėšos;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neformaliojo suaugusiųjų švietimo ir tęstinio mokymosi dalyvio lėšos;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 xml:space="preserve">4) kitos lėšos. </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Valstybės ir savivaldybių biudžetų lėšos skiriamos: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suaugusiųjų, besimokančių pagal suaugusiųjų formaliojo švietimo programas suaugusiųjų bendrojo ugdymo mokykloje, pagal Vyriausybės patvirtintą mokinio krepšelio metodiką, mokymuisi finansuoti;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suaugusiųjų, besimokančių pagal neformaliojo švietimo, tęstinio mokymosi programas, mokymuisi finansuoti pagal Vyriausybės patvirtintas finansavimo metodikas;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Neformaliojo suaugusiųjų švietimo ir tęstinio mokymosi plėtros programos įgyvendinimo veiksmų plano priemonėms ir veiksmams vykdyti juos įgyvendinančioms institucijoms.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3. Lėšos valstybės tarnautojų, kitų biudžetinių įstaigų darbuotojų profesinei kvalifikacijai tobulinti skiriamos iš valstybės ir savivaldybių biudžetų įstatymų ar ministrų pagal valdymo sritį teisės aktų nustatyta tvarka.</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4. Darbdavys, skyręs lėšų darbuotojų neformaliajam švietimui ir tęstiniam mokymuisi, kvalifikacijai tobulinti, Vyriausybės nustatyta tvarka gali gauti valstybės paramą patirtoms išlaidoms iš dalies finansuoti.“</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b/>
          <w:bCs/>
          <w:szCs w:val="24"/>
          <w:lang w:eastAsia="lt-LT"/>
        </w:rPr>
        <w:t>2 straipsnis. Įstatymo įsigaliojimas ir įgyvendinimas</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1. Šis įstatymas įsigalioja 2015 m. sausio 1 d.</w:t>
      </w:r>
    </w:p>
    <w:p w:rsidR="00C76BDF" w:rsidRPr="00C76BDF" w:rsidRDefault="00C76BDF" w:rsidP="00C76BDF">
      <w:pPr>
        <w:spacing w:before="100" w:beforeAutospacing="1" w:after="100" w:afterAutospacing="1" w:line="360" w:lineRule="auto"/>
        <w:ind w:firstLine="709"/>
        <w:jc w:val="both"/>
        <w:rPr>
          <w:rFonts w:eastAsia="Times New Roman" w:cs="Times New Roman"/>
          <w:szCs w:val="24"/>
          <w:lang w:eastAsia="lt-LT"/>
        </w:rPr>
      </w:pPr>
      <w:r w:rsidRPr="00C76BDF">
        <w:rPr>
          <w:rFonts w:eastAsia="Times New Roman" w:cs="Times New Roman"/>
          <w:szCs w:val="24"/>
          <w:lang w:eastAsia="lt-LT"/>
        </w:rPr>
        <w:t>2. Lietuvos Respublikos Vyriausybė ir Lietuvos Respublikos švietimo ir mokslo ministerija iki 2014 m. gruodžio 31 d. priima šio įstatymo įgyvendinamuosius teisės aktus.</w:t>
      </w:r>
    </w:p>
    <w:p w:rsidR="00C76BDF" w:rsidRPr="00C76BDF" w:rsidRDefault="00C76BDF" w:rsidP="00C76BDF">
      <w:pPr>
        <w:spacing w:before="100" w:beforeAutospacing="1" w:after="100" w:afterAutospacing="1" w:line="360" w:lineRule="auto"/>
        <w:ind w:firstLine="709"/>
        <w:rPr>
          <w:rFonts w:eastAsia="Times New Roman" w:cs="Times New Roman"/>
          <w:szCs w:val="24"/>
          <w:lang w:eastAsia="lt-LT"/>
        </w:rPr>
      </w:pPr>
      <w:r w:rsidRPr="00C76BDF">
        <w:rPr>
          <w:rFonts w:eastAsia="Times New Roman" w:cs="Times New Roman"/>
          <w:i/>
          <w:iCs/>
          <w:szCs w:val="24"/>
          <w:lang w:eastAsia="lt-LT"/>
        </w:rPr>
        <w:t>Skelbiu šį Lietuvos Respublikos Seimo priimtą įstatymą.</w:t>
      </w:r>
    </w:p>
    <w:p w:rsidR="00C76BDF" w:rsidRPr="00C76BDF" w:rsidRDefault="00C76BDF" w:rsidP="00C76BDF">
      <w:pPr>
        <w:spacing w:before="100" w:beforeAutospacing="1" w:after="100" w:afterAutospacing="1" w:line="360" w:lineRule="auto"/>
        <w:rPr>
          <w:rFonts w:eastAsia="Times New Roman" w:cs="Times New Roman"/>
          <w:szCs w:val="24"/>
          <w:lang w:eastAsia="lt-LT"/>
        </w:rPr>
      </w:pPr>
      <w:r w:rsidRPr="00C76BDF">
        <w:rPr>
          <w:rFonts w:eastAsia="Times New Roman" w:cs="Times New Roman"/>
          <w:szCs w:val="24"/>
          <w:lang w:eastAsia="lt-LT"/>
        </w:rPr>
        <w:t>Respublikos Prezidentas</w:t>
      </w:r>
    </w:p>
    <w:p w:rsidR="00C76BDF" w:rsidRPr="00C76BDF" w:rsidRDefault="00C76BDF" w:rsidP="00C76BDF">
      <w:pPr>
        <w:spacing w:before="100" w:beforeAutospacing="1" w:after="100" w:afterAutospacing="1" w:line="360" w:lineRule="auto"/>
        <w:ind w:firstLine="709"/>
        <w:rPr>
          <w:rFonts w:eastAsia="Times New Roman" w:cs="Times New Roman"/>
          <w:szCs w:val="24"/>
          <w:lang w:eastAsia="lt-LT"/>
        </w:rPr>
      </w:pPr>
      <w:r w:rsidRPr="00C76BDF">
        <w:rPr>
          <w:rFonts w:eastAsia="Times New Roman" w:cs="Times New Roman"/>
          <w:szCs w:val="24"/>
          <w:lang w:eastAsia="lt-LT"/>
        </w:rPr>
        <w:t>Teikia</w:t>
      </w:r>
    </w:p>
    <w:p w:rsidR="00C76BDF" w:rsidRPr="00C76BDF" w:rsidRDefault="00C76BDF" w:rsidP="00C76BDF">
      <w:pPr>
        <w:spacing w:before="100" w:beforeAutospacing="1" w:after="100" w:afterAutospacing="1" w:line="360" w:lineRule="auto"/>
        <w:ind w:firstLine="709"/>
        <w:rPr>
          <w:rFonts w:eastAsia="Times New Roman" w:cs="Times New Roman"/>
          <w:szCs w:val="24"/>
          <w:lang w:eastAsia="lt-LT"/>
        </w:rPr>
      </w:pPr>
      <w:r w:rsidRPr="00C76BDF">
        <w:rPr>
          <w:rFonts w:eastAsia="Times New Roman" w:cs="Times New Roman"/>
          <w:szCs w:val="24"/>
          <w:lang w:eastAsia="lt-LT"/>
        </w:rPr>
        <w:t>Seimo Švietimo, mokslo ir kultūros Audronė Pitrėnienė</w:t>
      </w:r>
    </w:p>
    <w:p w:rsidR="00C76BDF" w:rsidRPr="00C76BDF" w:rsidRDefault="00C76BDF" w:rsidP="00C76BDF">
      <w:pPr>
        <w:spacing w:before="100" w:beforeAutospacing="1" w:after="100" w:afterAutospacing="1" w:line="360" w:lineRule="auto"/>
        <w:ind w:firstLine="709"/>
        <w:rPr>
          <w:rFonts w:eastAsia="Times New Roman" w:cs="Times New Roman"/>
          <w:szCs w:val="24"/>
          <w:lang w:eastAsia="lt-LT"/>
        </w:rPr>
      </w:pPr>
      <w:r w:rsidRPr="00C76BDF">
        <w:rPr>
          <w:rFonts w:eastAsia="Times New Roman" w:cs="Times New Roman"/>
          <w:szCs w:val="24"/>
          <w:lang w:eastAsia="lt-LT"/>
        </w:rPr>
        <w:t xml:space="preserve">komiteto pirmininkė </w:t>
      </w:r>
    </w:p>
    <w:p w:rsidR="00C76BDF" w:rsidRPr="00C76BDF" w:rsidRDefault="00AE78F1" w:rsidP="00C76BDF">
      <w:pPr>
        <w:spacing w:line="240" w:lineRule="auto"/>
        <w:rPr>
          <w:rFonts w:ascii="Tahoma" w:eastAsia="Times New Roman" w:hAnsi="Tahoma" w:cs="Tahoma"/>
          <w:sz w:val="18"/>
          <w:szCs w:val="18"/>
          <w:lang w:eastAsia="lt-LT"/>
        </w:rPr>
      </w:pPr>
      <w:r>
        <w:rPr>
          <w:rFonts w:ascii="Tahoma" w:eastAsia="Times New Roman" w:hAnsi="Tahoma" w:cs="Tahoma"/>
          <w:sz w:val="18"/>
          <w:szCs w:val="18"/>
          <w:lang w:eastAsia="lt-LT"/>
        </w:rPr>
        <w:pict>
          <v:rect id="_x0000_i1025" style="width:0;height:1.5pt" o:hralign="center" o:hrstd="t" o:hrnoshade="t" o:hr="t" fillcolor="#666" stroked="f"/>
        </w:pict>
      </w:r>
    </w:p>
    <w:tbl>
      <w:tblPr>
        <w:tblW w:w="5000" w:type="pct"/>
        <w:tblCellSpacing w:w="0" w:type="dxa"/>
        <w:tblCellMar>
          <w:left w:w="0" w:type="dxa"/>
          <w:right w:w="0" w:type="dxa"/>
        </w:tblCellMar>
        <w:tblLook w:val="04A0" w:firstRow="1" w:lastRow="0" w:firstColumn="1" w:lastColumn="0" w:noHBand="0" w:noVBand="1"/>
      </w:tblPr>
      <w:tblGrid>
        <w:gridCol w:w="6807"/>
        <w:gridCol w:w="2831"/>
      </w:tblGrid>
      <w:tr w:rsidR="00C76BDF" w:rsidRPr="00C76BDF" w:rsidTr="00C76BDF">
        <w:trPr>
          <w:tblCellSpacing w:w="0" w:type="dxa"/>
        </w:trPr>
        <w:tc>
          <w:tcPr>
            <w:tcW w:w="0" w:type="auto"/>
            <w:hideMark/>
          </w:tcPr>
          <w:p w:rsidR="00C76BDF" w:rsidRPr="00C76BDF" w:rsidRDefault="00AE78F1" w:rsidP="00C76BDF">
            <w:pPr>
              <w:spacing w:line="240" w:lineRule="auto"/>
              <w:rPr>
                <w:rFonts w:ascii="Tahoma" w:eastAsia="Times New Roman" w:hAnsi="Tahoma" w:cs="Tahoma"/>
                <w:sz w:val="14"/>
                <w:szCs w:val="14"/>
                <w:lang w:eastAsia="lt-LT"/>
              </w:rPr>
            </w:pPr>
            <w:hyperlink r:id="rId4" w:history="1">
              <w:r w:rsidR="00C76BDF" w:rsidRPr="00C76BDF">
                <w:rPr>
                  <w:rFonts w:ascii="Tahoma" w:eastAsia="Times New Roman" w:hAnsi="Tahoma" w:cs="Tahoma"/>
                  <w:color w:val="000000"/>
                  <w:sz w:val="14"/>
                  <w:szCs w:val="14"/>
                  <w:u w:val="single"/>
                  <w:lang w:eastAsia="lt-LT"/>
                </w:rPr>
                <w:t>Nauja paieška</w:t>
              </w:r>
            </w:hyperlink>
            <w:r w:rsidR="00C76BDF" w:rsidRPr="00C76BDF">
              <w:rPr>
                <w:rFonts w:ascii="Tahoma" w:eastAsia="Times New Roman" w:hAnsi="Tahoma" w:cs="Tahoma"/>
                <w:sz w:val="14"/>
                <w:szCs w:val="14"/>
                <w:lang w:eastAsia="lt-LT"/>
              </w:rPr>
              <w:t xml:space="preserve"> </w:t>
            </w:r>
            <w:hyperlink r:id="rId5" w:anchor="top" w:history="1">
              <w:r w:rsidR="00C76BDF" w:rsidRPr="00C76BDF">
                <w:rPr>
                  <w:rFonts w:ascii="Tahoma" w:eastAsia="Times New Roman" w:hAnsi="Tahoma" w:cs="Tahoma"/>
                  <w:color w:val="000000"/>
                  <w:sz w:val="14"/>
                  <w:szCs w:val="14"/>
                  <w:u w:val="single"/>
                  <w:lang w:eastAsia="lt-LT"/>
                </w:rPr>
                <w:t>Į viršų</w:t>
              </w:r>
            </w:hyperlink>
            <w:r w:rsidR="00C76BDF" w:rsidRPr="00C76BDF">
              <w:rPr>
                <w:rFonts w:ascii="Tahoma" w:eastAsia="Times New Roman" w:hAnsi="Tahoma" w:cs="Tahoma"/>
                <w:sz w:val="14"/>
                <w:szCs w:val="14"/>
                <w:lang w:eastAsia="lt-LT"/>
              </w:rPr>
              <w:t xml:space="preserve"> </w:t>
            </w:r>
            <w:hyperlink r:id="rId6" w:tooltip="Pareikškite nuomonę apie šį teisės aktą" w:history="1">
              <w:r w:rsidR="00C76BDF" w:rsidRPr="00C76BDF">
                <w:rPr>
                  <w:rFonts w:ascii="Tahoma" w:eastAsia="Times New Roman" w:hAnsi="Tahoma" w:cs="Tahoma"/>
                  <w:color w:val="000000"/>
                  <w:sz w:val="14"/>
                  <w:szCs w:val="14"/>
                  <w:u w:val="single"/>
                  <w:lang w:eastAsia="lt-LT"/>
                </w:rPr>
                <w:t>Jūsų pasiūlymai ir pastabos</w:t>
              </w:r>
            </w:hyperlink>
            <w:r w:rsidR="00C76BDF" w:rsidRPr="00C76BDF">
              <w:rPr>
                <w:rFonts w:ascii="Tahoma" w:eastAsia="Times New Roman" w:hAnsi="Tahoma" w:cs="Tahoma"/>
                <w:sz w:val="14"/>
                <w:szCs w:val="14"/>
                <w:lang w:eastAsia="lt-LT"/>
              </w:rPr>
              <w:t xml:space="preserve"> </w:t>
            </w:r>
          </w:p>
        </w:tc>
        <w:tc>
          <w:tcPr>
            <w:tcW w:w="0" w:type="auto"/>
            <w:hideMark/>
          </w:tcPr>
          <w:p w:rsidR="00C76BDF" w:rsidRPr="00C76BDF" w:rsidRDefault="00AE78F1" w:rsidP="00C76BDF">
            <w:pPr>
              <w:spacing w:line="240" w:lineRule="auto"/>
              <w:jc w:val="right"/>
              <w:rPr>
                <w:rFonts w:ascii="Tahoma" w:eastAsia="Times New Roman" w:hAnsi="Tahoma" w:cs="Tahoma"/>
                <w:sz w:val="14"/>
                <w:szCs w:val="14"/>
                <w:lang w:eastAsia="lt-LT"/>
              </w:rPr>
            </w:pPr>
            <w:hyperlink r:id="rId7" w:history="1">
              <w:r w:rsidR="00C76BDF" w:rsidRPr="00C76BDF">
                <w:rPr>
                  <w:rFonts w:ascii="Tahoma" w:eastAsia="Times New Roman" w:hAnsi="Tahoma" w:cs="Tahoma"/>
                  <w:color w:val="000000"/>
                  <w:sz w:val="14"/>
                  <w:szCs w:val="14"/>
                  <w:u w:val="single"/>
                  <w:lang w:eastAsia="lt-LT"/>
                </w:rPr>
                <w:t>Versija spausdinimui</w:t>
              </w:r>
            </w:hyperlink>
            <w:r w:rsidR="00C76BDF" w:rsidRPr="00C76BDF">
              <w:rPr>
                <w:rFonts w:ascii="Tahoma" w:eastAsia="Times New Roman" w:hAnsi="Tahoma" w:cs="Tahoma"/>
                <w:sz w:val="14"/>
                <w:szCs w:val="14"/>
                <w:lang w:eastAsia="lt-LT"/>
              </w:rPr>
              <w:t xml:space="preserve"> </w:t>
            </w:r>
          </w:p>
        </w:tc>
      </w:tr>
    </w:tbl>
    <w:p w:rsidR="00C76BDF" w:rsidRPr="00C76BDF" w:rsidRDefault="00C76BDF" w:rsidP="00C76BDF">
      <w:pPr>
        <w:spacing w:line="240" w:lineRule="auto"/>
        <w:jc w:val="center"/>
        <w:rPr>
          <w:rFonts w:ascii="Tahoma" w:eastAsia="Times New Roman" w:hAnsi="Tahoma" w:cs="Tahoma"/>
          <w:vanish/>
          <w:sz w:val="18"/>
          <w:szCs w:val="18"/>
          <w:lang w:eastAsia="lt-LT"/>
        </w:rPr>
      </w:pPr>
    </w:p>
    <w:tbl>
      <w:tblPr>
        <w:tblW w:w="0" w:type="auto"/>
        <w:jc w:val="center"/>
        <w:tblCellSpacing w:w="0" w:type="dxa"/>
        <w:tblCellMar>
          <w:left w:w="0" w:type="dxa"/>
          <w:right w:w="0" w:type="dxa"/>
        </w:tblCellMar>
        <w:tblLook w:val="04A0" w:firstRow="1" w:lastRow="0" w:firstColumn="1" w:lastColumn="0" w:noHBand="0" w:noVBand="1"/>
        <w:tblDescription w:val=""/>
      </w:tblPr>
      <w:tblGrid>
        <w:gridCol w:w="3232"/>
      </w:tblGrid>
      <w:tr w:rsidR="00C76BDF" w:rsidRPr="00C76BDF" w:rsidTr="00C76BDF">
        <w:trPr>
          <w:tblCellSpacing w:w="0" w:type="dxa"/>
          <w:jc w:val="center"/>
        </w:trPr>
        <w:tc>
          <w:tcPr>
            <w:tcW w:w="0" w:type="auto"/>
            <w:shd w:val="clear" w:color="auto" w:fill="FFFFFF"/>
            <w:vAlign w:val="center"/>
            <w:hideMark/>
          </w:tcPr>
          <w:p w:rsidR="00C76BDF" w:rsidRPr="00C76BDF" w:rsidRDefault="00AE78F1" w:rsidP="00C76BDF">
            <w:pPr>
              <w:spacing w:line="240" w:lineRule="auto"/>
              <w:jc w:val="right"/>
              <w:rPr>
                <w:rFonts w:ascii="Tahoma" w:eastAsia="Times New Roman" w:hAnsi="Tahoma" w:cs="Tahoma"/>
                <w:sz w:val="18"/>
                <w:szCs w:val="18"/>
                <w:lang w:eastAsia="lt-LT"/>
              </w:rPr>
            </w:pPr>
            <w:hyperlink r:id="rId8" w:tooltip="Lietuvos Respublikos Seimas" w:history="1">
              <w:r w:rsidR="00C76BDF" w:rsidRPr="00C76BDF">
                <w:rPr>
                  <w:rFonts w:ascii="Tahoma" w:eastAsia="Times New Roman" w:hAnsi="Tahoma" w:cs="Tahoma"/>
                  <w:color w:val="000000"/>
                  <w:sz w:val="15"/>
                  <w:szCs w:val="15"/>
                  <w:u w:val="single"/>
                  <w:lang w:eastAsia="lt-LT"/>
                </w:rPr>
                <w:t>Lietuvos Respublikos Seimo Kanceliarija, © 2015</w:t>
              </w:r>
            </w:hyperlink>
          </w:p>
        </w:tc>
      </w:tr>
    </w:tbl>
    <w:p w:rsidR="004F789B" w:rsidRDefault="004F789B" w:rsidP="00CB0184">
      <w:pPr>
        <w:jc w:val="center"/>
        <w:rPr>
          <w:b/>
        </w:rPr>
      </w:pPr>
    </w:p>
    <w:p w:rsidR="004F789B" w:rsidRDefault="004F789B" w:rsidP="00CB0184">
      <w:pPr>
        <w:jc w:val="center"/>
        <w:rPr>
          <w:b/>
        </w:rPr>
      </w:pPr>
    </w:p>
    <w:sectPr w:rsidR="004F789B" w:rsidSect="00CB0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5B"/>
    <w:rsid w:val="0012304D"/>
    <w:rsid w:val="00236A5B"/>
    <w:rsid w:val="003F0566"/>
    <w:rsid w:val="00417E47"/>
    <w:rsid w:val="004D4F2A"/>
    <w:rsid w:val="004F789B"/>
    <w:rsid w:val="00923B83"/>
    <w:rsid w:val="00A2714E"/>
    <w:rsid w:val="00AE18AE"/>
    <w:rsid w:val="00AE78F1"/>
    <w:rsid w:val="00C76BDF"/>
    <w:rsid w:val="00CB0184"/>
    <w:rsid w:val="00CC36D5"/>
    <w:rsid w:val="00DD1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CFC9E-F09D-47C5-A1B4-0BA570BA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17E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8AE"/>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1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56556">
      <w:bodyDiv w:val="1"/>
      <w:marLeft w:val="225"/>
      <w:marRight w:val="225"/>
      <w:marTop w:val="0"/>
      <w:marBottom w:val="0"/>
      <w:divBdr>
        <w:top w:val="none" w:sz="0" w:space="0" w:color="auto"/>
        <w:left w:val="none" w:sz="0" w:space="0" w:color="auto"/>
        <w:bottom w:val="none" w:sz="0" w:space="0" w:color="auto"/>
        <w:right w:val="none" w:sz="0" w:space="0" w:color="auto"/>
      </w:divBdr>
      <w:divsChild>
        <w:div w:id="808085698">
          <w:marLeft w:val="0"/>
          <w:marRight w:val="0"/>
          <w:marTop w:val="0"/>
          <w:marBottom w:val="0"/>
          <w:divBdr>
            <w:top w:val="none" w:sz="0" w:space="0" w:color="auto"/>
            <w:left w:val="none" w:sz="0" w:space="0" w:color="auto"/>
            <w:bottom w:val="none" w:sz="0" w:space="0" w:color="auto"/>
            <w:right w:val="none" w:sz="0" w:space="0" w:color="auto"/>
          </w:divBdr>
        </w:div>
      </w:divsChild>
    </w:div>
    <w:div w:id="203025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21543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w5_sveciai.komentarai_write?p_gijaID=34" TargetMode="External"/><Relationship Id="rId3" Type="http://schemas.openxmlformats.org/officeDocument/2006/relationships/webSettings" Target="webSettings.xml"/><Relationship Id="rId7" Type="http://schemas.openxmlformats.org/officeDocument/2006/relationships/hyperlink" Target="http://www3.lrs.lt/pls/inter2/dokpaieska.showdoc_l?p_id=4743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w5_sveciai.komentarai_write?p_gijaID=34" TargetMode="External"/><Relationship Id="rId5" Type="http://schemas.openxmlformats.org/officeDocument/2006/relationships/hyperlink" Target="http://www3.lrs.lt/pls/inter2/dokpaieska.showdoc_l?p_id=474309" TargetMode="External"/><Relationship Id="rId10" Type="http://schemas.openxmlformats.org/officeDocument/2006/relationships/theme" Target="theme/theme1.xml"/><Relationship Id="rId4" Type="http://schemas.openxmlformats.org/officeDocument/2006/relationships/hyperlink" Target="http://www3.lrs.lt/pls/inter2/dokpaieska.forma_l"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10471</Words>
  <Characters>5970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Birute</cp:lastModifiedBy>
  <cp:revision>2</cp:revision>
  <cp:lastPrinted>2015-02-23T13:52:00Z</cp:lastPrinted>
  <dcterms:created xsi:type="dcterms:W3CDTF">2016-06-02T13:02:00Z</dcterms:created>
  <dcterms:modified xsi:type="dcterms:W3CDTF">2016-06-02T13:02:00Z</dcterms:modified>
</cp:coreProperties>
</file>